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05" w:rsidRDefault="00BE4E05">
      <w:pPr>
        <w:pStyle w:val="Default"/>
        <w:ind w:firstLine="10490"/>
        <w:rPr>
          <w:sz w:val="23"/>
          <w:szCs w:val="23"/>
        </w:rPr>
      </w:pPr>
      <w:r>
        <w:rPr>
          <w:bCs/>
          <w:sz w:val="23"/>
          <w:szCs w:val="23"/>
        </w:rPr>
        <w:t xml:space="preserve">Приложение №2 </w:t>
      </w:r>
    </w:p>
    <w:p w:rsidR="00BE4E05" w:rsidRDefault="00BE4E05">
      <w:pPr>
        <w:pStyle w:val="Default"/>
        <w:ind w:firstLine="10490"/>
        <w:rPr>
          <w:sz w:val="23"/>
          <w:szCs w:val="23"/>
        </w:rPr>
      </w:pPr>
      <w:r>
        <w:rPr>
          <w:bCs/>
          <w:sz w:val="23"/>
          <w:szCs w:val="23"/>
        </w:rPr>
        <w:t xml:space="preserve">к Антикоррупционной политике </w:t>
      </w:r>
    </w:p>
    <w:p w:rsidR="00BE4E05" w:rsidRDefault="00BE4E05">
      <w:pPr>
        <w:pStyle w:val="Default"/>
        <w:ind w:firstLine="10490"/>
        <w:rPr>
          <w:bCs/>
          <w:sz w:val="23"/>
          <w:szCs w:val="23"/>
        </w:rPr>
      </w:pPr>
      <w:r>
        <w:rPr>
          <w:bCs/>
          <w:sz w:val="23"/>
          <w:szCs w:val="23"/>
        </w:rPr>
        <w:t>муниципального общеобразовательного</w:t>
      </w:r>
    </w:p>
    <w:p w:rsidR="00BE4E05" w:rsidRDefault="00BE4E05">
      <w:pPr>
        <w:pStyle w:val="Default"/>
        <w:ind w:firstLine="10490"/>
        <w:rPr>
          <w:bCs/>
          <w:sz w:val="23"/>
          <w:szCs w:val="23"/>
        </w:rPr>
      </w:pPr>
      <w:r>
        <w:rPr>
          <w:bCs/>
          <w:sz w:val="23"/>
          <w:szCs w:val="23"/>
        </w:rPr>
        <w:t>учреждения Глебовская основная школа</w:t>
      </w:r>
    </w:p>
    <w:p w:rsidR="00BE4E05" w:rsidRPr="00A721A5" w:rsidRDefault="00BE4E05" w:rsidP="00A721A5">
      <w:pPr>
        <w:jc w:val="center"/>
        <w:rPr>
          <w:rFonts w:cs="Times New Roman"/>
          <w:b/>
          <w:bCs/>
          <w:szCs w:val="28"/>
          <w:lang w:eastAsia="ru-RU"/>
        </w:rPr>
      </w:pPr>
      <w:r w:rsidRPr="00A721A5">
        <w:rPr>
          <w:rFonts w:cs="Times New Roman"/>
          <w:b/>
          <w:bCs/>
          <w:szCs w:val="28"/>
          <w:lang w:eastAsia="ru-RU"/>
        </w:rPr>
        <w:t>Карта коррупционных рисков</w:t>
      </w:r>
      <w:r w:rsidRPr="00A721A5">
        <w:rPr>
          <w:rFonts w:cs="Times New Roman"/>
          <w:b/>
          <w:bCs/>
          <w:szCs w:val="28"/>
          <w:lang w:eastAsia="ru-RU"/>
        </w:rPr>
        <w:br/>
        <w:t xml:space="preserve">муниципального общеобразовательного учреждения </w:t>
      </w:r>
    </w:p>
    <w:p w:rsidR="00BE4E05" w:rsidRDefault="00BE4E05" w:rsidP="00A721A5">
      <w:pPr>
        <w:jc w:val="center"/>
      </w:pPr>
      <w:r>
        <w:rPr>
          <w:rFonts w:cs="Times New Roman"/>
          <w:b/>
          <w:bCs/>
          <w:szCs w:val="28"/>
          <w:lang w:eastAsia="ru-RU"/>
        </w:rPr>
        <w:t>Глебовская основная школа</w:t>
      </w:r>
      <w:r>
        <w:rPr>
          <w:rFonts w:cs="Times New Roman"/>
          <w:b/>
          <w:szCs w:val="28"/>
        </w:rPr>
        <w:t xml:space="preserve"> (городской округ город Переславль-Залесский)</w:t>
      </w:r>
    </w:p>
    <w:p w:rsidR="00BE4E05" w:rsidRDefault="00BE4E05">
      <w:pPr>
        <w:ind w:firstLine="0"/>
        <w:jc w:val="center"/>
        <w:rPr>
          <w:rFonts w:cs="Times New Roman"/>
          <w:b/>
          <w:bCs/>
          <w:sz w:val="32"/>
          <w:lang w:eastAsia="ru-RU"/>
        </w:rPr>
      </w:pPr>
    </w:p>
    <w:p w:rsidR="00BE4E05" w:rsidRDefault="00BE4E05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694"/>
        <w:gridCol w:w="3543"/>
        <w:gridCol w:w="2268"/>
        <w:gridCol w:w="1276"/>
        <w:gridCol w:w="4111"/>
      </w:tblGrid>
      <w:tr w:rsidR="00BE4E05" w:rsidRPr="00A721A5" w:rsidTr="00BE119F">
        <w:tc>
          <w:tcPr>
            <w:tcW w:w="124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543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268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111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Меры по управлению</w:t>
            </w:r>
            <w:r w:rsidRPr="00BE119F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BE4E05" w:rsidRDefault="00BE4E05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2"/>
        <w:gridCol w:w="2626"/>
        <w:gridCol w:w="3547"/>
        <w:gridCol w:w="2223"/>
        <w:gridCol w:w="1252"/>
        <w:gridCol w:w="4174"/>
      </w:tblGrid>
      <w:tr w:rsidR="00BE4E05" w:rsidRPr="00A721A5" w:rsidTr="00BE119F">
        <w:trPr>
          <w:tblHeader/>
        </w:trPr>
        <w:tc>
          <w:tcPr>
            <w:tcW w:w="131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E4E05" w:rsidRPr="00A721A5" w:rsidTr="00BE119F">
        <w:tc>
          <w:tcPr>
            <w:tcW w:w="15134" w:type="dxa"/>
            <w:gridSpan w:val="6"/>
          </w:tcPr>
          <w:p w:rsidR="00BE4E05" w:rsidRPr="00BE119F" w:rsidRDefault="00BE4E05" w:rsidP="00BE119F">
            <w:pPr>
              <w:pStyle w:val="14"/>
              <w:numPr>
                <w:ilvl w:val="0"/>
                <w:numId w:val="2"/>
              </w:numPr>
              <w:tabs>
                <w:tab w:val="left" w:pos="567"/>
              </w:tabs>
              <w:spacing w:before="0" w:after="0" w:line="240" w:lineRule="auto"/>
              <w:ind w:right="0"/>
              <w:outlineLvl w:val="1"/>
              <w:rPr>
                <w:sz w:val="24"/>
                <w:szCs w:val="24"/>
                <w:lang w:eastAsia="ru-RU"/>
              </w:rPr>
            </w:pPr>
            <w:r w:rsidRPr="00BE119F">
              <w:rPr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E4E05" w:rsidRPr="00A721A5" w:rsidTr="00BE119F">
        <w:tc>
          <w:tcPr>
            <w:tcW w:w="1312" w:type="dxa"/>
            <w:vMerge w:val="restart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Прием и отчисление обучающихся</w:t>
            </w: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 xml:space="preserve">Необоснованный отказ в приеме ребенка в школу 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sz w:val="24"/>
                <w:szCs w:val="24"/>
              </w:rPr>
              <w:t xml:space="preserve"> приему обучающихся в школу</w:t>
            </w:r>
          </w:p>
        </w:tc>
      </w:tr>
      <w:tr w:rsidR="00BE4E05" w:rsidRPr="00A721A5" w:rsidTr="00BE119F">
        <w:tc>
          <w:tcPr>
            <w:tcW w:w="1312" w:type="dxa"/>
            <w:vMerge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 xml:space="preserve">Отчисление обучающегося с нарушением действующего законодательства 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sz w:val="24"/>
                <w:szCs w:val="24"/>
              </w:rPr>
              <w:t xml:space="preserve"> отчислению обучающихся из школы</w:t>
            </w:r>
          </w:p>
        </w:tc>
      </w:tr>
      <w:tr w:rsidR="00BE4E05" w:rsidRPr="00A721A5" w:rsidTr="00BE119F">
        <w:tc>
          <w:tcPr>
            <w:tcW w:w="1312" w:type="dxa"/>
            <w:vMerge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Pr="00BE119F">
              <w:rPr>
                <w:rFonts w:cs="Times New Roman"/>
                <w:color w:val="000000"/>
                <w:sz w:val="24"/>
                <w:szCs w:val="24"/>
              </w:rPr>
              <w:t>действующим законодательством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</w:tc>
      </w:tr>
      <w:tr w:rsidR="00BE4E05" w:rsidRPr="00A721A5" w:rsidTr="00BE119F">
        <w:tc>
          <w:tcPr>
            <w:tcW w:w="1312" w:type="dxa"/>
            <w:vMerge w:val="restart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Аттестация обучающихся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Выдача документов государственного образца с нарушением действующего законодательства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sz w:val="24"/>
                <w:szCs w:val="24"/>
              </w:rPr>
              <w:t xml:space="preserve"> выдаче документов государственного образца</w:t>
            </w:r>
          </w:p>
        </w:tc>
      </w:tr>
      <w:tr w:rsidR="00BE4E05" w:rsidRPr="00A721A5" w:rsidTr="00BE119F">
        <w:tc>
          <w:tcPr>
            <w:tcW w:w="1312" w:type="dxa"/>
            <w:vMerge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Проведение текущей, промежуточной и итоговой аттестации обучающихся с нарушением действующего законодательства: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1.Предоставление преимуществ (создание «особых» условий при выполнении работ, дополнительные пересдачи, переписывания, облегченные варианты работ, «подсказки» со стороны учителя, «завышение» оценок) отдельным обучающимся при проведении текущей аттестации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2.   Предоставление преимуществ (дополнительные пересдачи, переписывания, «завышение» оценок) отдельным обучающимся при проведении промежуточной  аттестации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3. Необъективное оценивание работ обучающихся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sz w:val="24"/>
                <w:szCs w:val="24"/>
              </w:rPr>
              <w:t xml:space="preserve"> проведению аттестации обучающихся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 w:firstLine="0"/>
              <w:outlineLvl w:val="1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b w:val="0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Оказание образовательных услуг.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Репетиторство.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A721A5" w:rsidRDefault="00BE4E05" w:rsidP="00BE119F">
            <w:pPr>
              <w:pStyle w:val="NormalWeb"/>
              <w:spacing w:before="0" w:after="0"/>
              <w:ind w:left="-108" w:firstLine="709"/>
            </w:pPr>
            <w:r w:rsidRPr="00A721A5">
              <w:t>Предоставление преимуществ отдельным обучающимся;</w:t>
            </w:r>
          </w:p>
          <w:p w:rsidR="00BE4E05" w:rsidRPr="00BE119F" w:rsidRDefault="00BE4E05" w:rsidP="00BE119F">
            <w:pPr>
              <w:ind w:firstLine="602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необеспечение качества обучения в рамках реализации основных образовательных программ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sz w:val="24"/>
                <w:szCs w:val="24"/>
              </w:rPr>
              <w:t xml:space="preserve"> оказанию образовательных услуг обучающимся.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 w:firstLine="0"/>
              <w:outlineLvl w:val="1"/>
              <w:rPr>
                <w:b w:val="0"/>
                <w:sz w:val="24"/>
                <w:szCs w:val="24"/>
                <w:highlight w:val="yellow"/>
                <w:lang w:eastAsia="ru-RU"/>
              </w:rPr>
            </w:pPr>
            <w:r w:rsidRPr="00BE119F">
              <w:rPr>
                <w:b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Предоставление услуги о текущей успеваемости обучающихся</w:t>
            </w:r>
          </w:p>
        </w:tc>
        <w:tc>
          <w:tcPr>
            <w:tcW w:w="3547" w:type="dxa"/>
          </w:tcPr>
          <w:p w:rsidR="00BE4E05" w:rsidRPr="00BE119F" w:rsidRDefault="00BE4E05" w:rsidP="00BE11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9F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услуги.</w:t>
            </w:r>
          </w:p>
        </w:tc>
        <w:tc>
          <w:tcPr>
            <w:tcW w:w="2223" w:type="dxa"/>
          </w:tcPr>
          <w:p w:rsidR="00BE4E05" w:rsidRPr="00BE119F" w:rsidRDefault="00BE4E05" w:rsidP="00BE119F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Оператор ответственный за выдачу логинов и паролей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ascii="Times New Roman" w:hAnsi="Times New Roman"/>
                <w:sz w:val="24"/>
                <w:szCs w:val="24"/>
              </w:rPr>
              <w:t xml:space="preserve"> оказанию услуги о текущей успеваемости обучающихся.</w:t>
            </w:r>
          </w:p>
        </w:tc>
      </w:tr>
      <w:tr w:rsidR="00BE4E05" w:rsidRPr="00A721A5" w:rsidTr="00BE119F">
        <w:tc>
          <w:tcPr>
            <w:tcW w:w="15134" w:type="dxa"/>
            <w:gridSpan w:val="6"/>
          </w:tcPr>
          <w:p w:rsidR="00BE4E05" w:rsidRPr="00BE119F" w:rsidRDefault="00BE4E05" w:rsidP="00BE119F">
            <w:pPr>
              <w:pStyle w:val="NormalWeb"/>
              <w:numPr>
                <w:ilvl w:val="0"/>
                <w:numId w:val="2"/>
              </w:numPr>
              <w:spacing w:before="0" w:after="0"/>
              <w:jc w:val="center"/>
            </w:pPr>
            <w:r w:rsidRPr="00BE119F">
              <w:rPr>
                <w:b/>
              </w:rPr>
              <w:t>Финансово-хозяйственная деятельность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муниципальных нужд </w:t>
            </w: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 контрактов установление необоснованных преимуществ для отдельных участников закупки.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>
              <w:t>гл. бухгалтер</w:t>
            </w:r>
          </w:p>
          <w:p w:rsidR="00BE4E05" w:rsidRPr="00BE119F" w:rsidRDefault="00BE4E05" w:rsidP="00BE119F">
            <w:pPr>
              <w:pStyle w:val="NormalWeb"/>
              <w:spacing w:before="0" w:after="0"/>
              <w:rPr>
                <w:bCs/>
              </w:rPr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BE4E05" w:rsidRPr="00BE119F" w:rsidRDefault="00BE4E05" w:rsidP="00BE119F">
            <w:pPr>
              <w:pStyle w:val="NormalWeb"/>
              <w:spacing w:before="0" w:after="0"/>
              <w:rPr>
                <w:kern w:val="2"/>
              </w:rPr>
            </w:pP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>
              <w:t>гл. бухгалтер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pStyle w:val="NormalWeb"/>
              <w:spacing w:before="0" w:after="0"/>
              <w:rPr>
                <w:kern w:val="2"/>
              </w:rPr>
            </w:pPr>
            <w:r w:rsidRPr="00A721A5"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>
              <w:t>гл. бухгалтер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муниципальных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>
              <w:t>гл. бухгалтер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гл. бухга</w:t>
            </w:r>
            <w:r>
              <w:t>лтер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работников 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kern w:val="2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директор,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  <w:r>
              <w:t>гл. бухгалтер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работнику 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работником 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BE119F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A721A5" w:rsidRDefault="00BE4E05" w:rsidP="00BE119F">
            <w:pPr>
              <w:pStyle w:val="NormalWeb"/>
              <w:spacing w:before="0" w:after="0"/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BE119F" w:rsidRDefault="00BE4E05" w:rsidP="00BE119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работником при осуществлении коррупционно-опасной функции.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BE119F" w:rsidRDefault="00BE4E05" w:rsidP="00BE119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_DdeLink__3592_3580237669"/>
            <w:r w:rsidRPr="00BE119F">
              <w:rPr>
                <w:rFonts w:cs="Times New Roman"/>
                <w:sz w:val="24"/>
                <w:szCs w:val="24"/>
              </w:rPr>
              <w:t>высокая</w:t>
            </w:r>
            <w:bookmarkEnd w:id="0"/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работников при осуществлении коррупционно-опасной функции;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tabs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Члены Единой комиссии по закупкам</w:t>
            </w:r>
          </w:p>
          <w:p w:rsidR="00BE4E05" w:rsidRPr="00BE119F" w:rsidRDefault="00BE4E05" w:rsidP="00BE11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Поступления от приносящей доход деятельности.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Перечисление добровольных пожертвований на нужды школы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Нецелевое использование средств поступивших в виде добровольных пожертвований на нужды школы,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гл. бухгалтер, бухгалтер, педагогические работники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Нормативное регулирование деятельности по </w:t>
            </w:r>
            <w:r w:rsidRPr="00BE119F">
              <w:rPr>
                <w:rFonts w:cs="Times New Roman"/>
                <w:color w:val="000000"/>
                <w:sz w:val="24"/>
                <w:szCs w:val="24"/>
              </w:rPr>
              <w:t xml:space="preserve"> перечислению добровольных пожертвований школе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Оказание платных образовательных услуг.</w:t>
            </w:r>
          </w:p>
          <w:p w:rsidR="00BE4E05" w:rsidRPr="00BE119F" w:rsidRDefault="00BE4E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Нецелевое использование средств, поступивших от оказания платных образовательных услуг, прием денежных средств наличным путем или без документов, оформление соответствующих документов не в полном объеме и ненадлежащим образом, записи несуществующих расходов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гл. бухгалтер, бухгалтер, педагогические работники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Нормативное регулирование оказания платных </w:t>
            </w:r>
            <w:r w:rsidRPr="00BE119F">
              <w:rPr>
                <w:rFonts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Финансовая деятельность.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Осуществление распределения денежных средств, поступивших на выполнение МЗ и иные цели.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Нецелевое использование бюджетных средств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Директор,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Нормативное регулирование процессов </w:t>
            </w:r>
            <w:r w:rsidRPr="00BE119F">
              <w:rPr>
                <w:rFonts w:cs="Times New Roman"/>
                <w:color w:val="000000"/>
                <w:sz w:val="24"/>
                <w:szCs w:val="24"/>
              </w:rPr>
              <w:t>распределения денежных средств, поступивших на выполнение МЗ и иные цели.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Хозяйственная деятельность.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119F">
              <w:rPr>
                <w:rFonts w:cs="Times New Roman"/>
                <w:sz w:val="24"/>
                <w:szCs w:val="24"/>
              </w:rPr>
              <w:t>Хранение и распределение материально-технических ресурсов.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Осуществление хранения и распределения материально-технических ресурсов по «личному» усмотрению, без учета нужд школы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  <w:rPr>
                <w:lang w:eastAsia="en-US"/>
              </w:rPr>
            </w:pPr>
            <w:r w:rsidRPr="00A721A5">
              <w:rPr>
                <w:lang w:eastAsia="en-US"/>
              </w:rPr>
              <w:t>Директор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Проведение ежегодной инвентаризации школьного имущества с привлечением работников ОО</w:t>
            </w:r>
          </w:p>
        </w:tc>
      </w:tr>
      <w:tr w:rsidR="00BE4E05" w:rsidRPr="00A721A5" w:rsidTr="00BE119F">
        <w:tc>
          <w:tcPr>
            <w:tcW w:w="15134" w:type="dxa"/>
            <w:gridSpan w:val="6"/>
          </w:tcPr>
          <w:p w:rsidR="00BE4E05" w:rsidRPr="00BE119F" w:rsidRDefault="00BE4E05" w:rsidP="00BE119F">
            <w:pPr>
              <w:pStyle w:val="NormalWeb"/>
              <w:numPr>
                <w:ilvl w:val="0"/>
                <w:numId w:val="2"/>
              </w:numPr>
              <w:spacing w:before="0" w:after="0"/>
              <w:jc w:val="center"/>
              <w:rPr>
                <w:b/>
              </w:rPr>
            </w:pPr>
            <w:r w:rsidRPr="00BE119F">
              <w:rPr>
                <w:b/>
              </w:rPr>
              <w:t>Безопасность в ОО</w:t>
            </w:r>
          </w:p>
        </w:tc>
      </w:tr>
      <w:tr w:rsidR="00BE4E05" w:rsidRPr="00A721A5" w:rsidTr="00BE119F">
        <w:tc>
          <w:tcPr>
            <w:tcW w:w="1312" w:type="dxa"/>
          </w:tcPr>
          <w:p w:rsidR="00BE4E05" w:rsidRPr="00BE119F" w:rsidRDefault="00BE4E05" w:rsidP="00BE119F">
            <w:pPr>
              <w:pStyle w:val="14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 w:rsidRPr="00A721A5">
              <w:t>Обеспечение безопасных условий для работников и обучающихся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в школе. Проведение расследований причин возникновения чрезвычайных ситуаций, аварий, несчастных случаев с детьми и работниками</w:t>
            </w:r>
          </w:p>
        </w:tc>
        <w:tc>
          <w:tcPr>
            <w:tcW w:w="3547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Искажение или сокрытие достоверной информации о произошедшем.</w:t>
            </w:r>
          </w:p>
        </w:tc>
        <w:tc>
          <w:tcPr>
            <w:tcW w:w="2223" w:type="dxa"/>
          </w:tcPr>
          <w:p w:rsidR="00BE4E05" w:rsidRPr="00A721A5" w:rsidRDefault="00BE4E05" w:rsidP="00BE119F">
            <w:pPr>
              <w:pStyle w:val="NormalWeb"/>
              <w:spacing w:before="0" w:after="0"/>
            </w:pPr>
            <w:r>
              <w:t>Директор,</w:t>
            </w:r>
          </w:p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</w:rPr>
              <w:t>члены комиссии по расследованию несчастных случаев</w:t>
            </w:r>
          </w:p>
        </w:tc>
        <w:tc>
          <w:tcPr>
            <w:tcW w:w="1252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74" w:type="dxa"/>
          </w:tcPr>
          <w:p w:rsidR="00BE4E05" w:rsidRPr="00BE119F" w:rsidRDefault="00BE4E05" w:rsidP="00BE119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E119F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ситуаций, связанных с </w:t>
            </w:r>
            <w:r w:rsidRPr="00BE119F">
              <w:rPr>
                <w:rFonts w:cs="Times New Roman"/>
                <w:sz w:val="24"/>
                <w:szCs w:val="24"/>
              </w:rPr>
              <w:t>несчастными случаями с детьми и работниками</w:t>
            </w:r>
          </w:p>
        </w:tc>
      </w:tr>
    </w:tbl>
    <w:p w:rsidR="00BE4E05" w:rsidRDefault="00BE4E05"/>
    <w:sectPr w:rsidR="00BE4E05" w:rsidSect="005507CD">
      <w:headerReference w:type="default" r:id="rId7"/>
      <w:footerReference w:type="default" r:id="rId8"/>
      <w:pgSz w:w="16838" w:h="11906" w:orient="landscape"/>
      <w:pgMar w:top="1701" w:right="1134" w:bottom="766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05" w:rsidRDefault="00BE4E05" w:rsidP="005507CD">
      <w:r>
        <w:separator/>
      </w:r>
    </w:p>
  </w:endnote>
  <w:endnote w:type="continuationSeparator" w:id="0">
    <w:p w:rsidR="00BE4E05" w:rsidRDefault="00BE4E05" w:rsidP="005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05" w:rsidRDefault="00BE4E05">
    <w:pPr>
      <w:pStyle w:val="Footer1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E4E05" w:rsidRDefault="00BE4E05">
    <w:pPr>
      <w:pStyle w:val="Footer1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05" w:rsidRDefault="00BE4E05" w:rsidP="005507CD">
      <w:r>
        <w:separator/>
      </w:r>
    </w:p>
  </w:footnote>
  <w:footnote w:type="continuationSeparator" w:id="0">
    <w:p w:rsidR="00BE4E05" w:rsidRDefault="00BE4E05" w:rsidP="0055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05" w:rsidRDefault="00BE4E05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7E9"/>
    <w:multiLevelType w:val="hybridMultilevel"/>
    <w:tmpl w:val="03122828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">
    <w:nsid w:val="54E510F1"/>
    <w:multiLevelType w:val="multilevel"/>
    <w:tmpl w:val="49BAC3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C61F22"/>
    <w:multiLevelType w:val="multilevel"/>
    <w:tmpl w:val="3BEAD61C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CD"/>
    <w:rsid w:val="0005337A"/>
    <w:rsid w:val="0018248B"/>
    <w:rsid w:val="002E0FB6"/>
    <w:rsid w:val="004420AC"/>
    <w:rsid w:val="005507CD"/>
    <w:rsid w:val="005D0067"/>
    <w:rsid w:val="00A721A5"/>
    <w:rsid w:val="00BE119F"/>
    <w:rsid w:val="00BE4E05"/>
    <w:rsid w:val="00C8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pPr>
      <w:keepNext/>
      <w:keepLines/>
      <w:numPr>
        <w:numId w:val="1"/>
      </w:numPr>
      <w:spacing w:before="240" w:after="120"/>
      <w:jc w:val="center"/>
      <w:outlineLvl w:val="0"/>
    </w:pPr>
    <w:rPr>
      <w:rFonts w:cs="Times New Roman"/>
      <w:b/>
      <w:bCs/>
      <w:kern w:val="2"/>
      <w:szCs w:val="48"/>
      <w:lang w:eastAsia="ru-RU"/>
    </w:rPr>
  </w:style>
  <w:style w:type="paragraph" w:customStyle="1" w:styleId="Heading21">
    <w:name w:val="Heading 21"/>
    <w:basedOn w:val="Normal"/>
    <w:autoRedefine/>
    <w:uiPriority w:val="99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cs="Times New Roman"/>
      <w:b/>
      <w:bCs/>
      <w:kern w:val="2"/>
      <w:szCs w:val="26"/>
    </w:rPr>
  </w:style>
  <w:style w:type="paragraph" w:customStyle="1" w:styleId="Heading31">
    <w:name w:val="Heading 31"/>
    <w:basedOn w:val="Normal"/>
    <w:autoRedefine/>
    <w:uiPriority w:val="99"/>
    <w:pPr>
      <w:keepNext/>
      <w:keepLines/>
      <w:spacing w:before="120" w:after="120"/>
      <w:ind w:left="360" w:hanging="360"/>
      <w:jc w:val="center"/>
    </w:pPr>
    <w:rPr>
      <w:rFonts w:cs="Times New Roman"/>
      <w:b/>
      <w:bCs/>
    </w:rPr>
  </w:style>
  <w:style w:type="character" w:customStyle="1" w:styleId="1">
    <w:name w:val="Заголовок 1 Знак"/>
    <w:basedOn w:val="DefaultParagraphFont"/>
    <w:uiPriority w:val="99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21"/>
    <w:uiPriority w:val="99"/>
    <w:locked/>
    <w:rPr>
      <w:rFonts w:ascii="Times New Roman" w:hAnsi="Times New Roman" w:cs="Times New Roman"/>
      <w:b/>
      <w:bCs/>
      <w:kern w:val="2"/>
      <w:sz w:val="26"/>
      <w:szCs w:val="26"/>
    </w:rPr>
  </w:style>
  <w:style w:type="character" w:customStyle="1" w:styleId="3">
    <w:name w:val="Заголовок 3 Знак"/>
    <w:basedOn w:val="DefaultParagraphFont"/>
    <w:uiPriority w:val="99"/>
    <w:rPr>
      <w:rFonts w:ascii="Times New Roman" w:hAnsi="Times New Roman" w:cs="Times New Roman"/>
      <w:b/>
      <w:bCs/>
      <w:sz w:val="28"/>
    </w:rPr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Calibri"/>
      <w:sz w:val="28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Calibri"/>
      <w:sz w:val="28"/>
    </w:rPr>
  </w:style>
  <w:style w:type="character" w:customStyle="1" w:styleId="a1">
    <w:name w:val="Основной текст Знак"/>
    <w:basedOn w:val="DefaultParagraphFont"/>
    <w:uiPriority w:val="99"/>
    <w:rPr>
      <w:rFonts w:ascii="Calibri" w:hAnsi="Calibri" w:cs="Calibri"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Знак1"/>
    <w:basedOn w:val="DefaultParagraphFont"/>
    <w:uiPriority w:val="99"/>
    <w:semiHidden/>
    <w:locked/>
    <w:rPr>
      <w:rFonts w:ascii="Calibri" w:hAnsi="Calibri" w:cs="Calibri"/>
      <w:sz w:val="20"/>
      <w:szCs w:val="20"/>
      <w:shd w:val="clear" w:color="auto" w:fill="FFFFFF"/>
      <w:lang w:eastAsia="ru-RU"/>
    </w:rPr>
  </w:style>
  <w:style w:type="character" w:customStyle="1" w:styleId="a2">
    <w:name w:val="Текст сноски Знак"/>
    <w:basedOn w:val="DefaultParagraphFont"/>
    <w:uiPriority w:val="99"/>
    <w:semiHidden/>
    <w:rPr>
      <w:rFonts w:ascii="Times New Roman" w:hAnsi="Times New Roman" w:cs="Calibri"/>
      <w:sz w:val="20"/>
      <w:szCs w:val="20"/>
    </w:rPr>
  </w:style>
  <w:style w:type="character" w:customStyle="1" w:styleId="a3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DefaultParagraphFont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character" w:customStyle="1" w:styleId="a6">
    <w:name w:val="Основной текст_"/>
    <w:uiPriority w:val="99"/>
    <w:rPr>
      <w:rFonts w:eastAsia="Times New Roman"/>
      <w:sz w:val="23"/>
      <w:shd w:val="clear" w:color="auto" w:fill="FFFFFF"/>
    </w:rPr>
  </w:style>
  <w:style w:type="character" w:customStyle="1" w:styleId="11">
    <w:name w:val="Основной текст1"/>
    <w:uiPriority w:val="99"/>
    <w:rPr>
      <w:rFonts w:eastAsia="Times New Roman"/>
      <w:color w:val="000000"/>
      <w:spacing w:val="0"/>
      <w:w w:val="100"/>
      <w:sz w:val="23"/>
      <w:shd w:val="clear" w:color="auto" w:fill="FFFFFF"/>
      <w:lang w:val="ru-RU"/>
    </w:rPr>
  </w:style>
  <w:style w:type="character" w:customStyle="1" w:styleId="a7">
    <w:name w:val="Текст концевой сноски Знак"/>
    <w:basedOn w:val="DefaultParagraphFont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азвание Знак"/>
    <w:basedOn w:val="DefaultParagraphFont"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">
    <w:name w:val="ListLabel 1"/>
    <w:uiPriority w:val="99"/>
    <w:rPr>
      <w:b/>
      <w:sz w:val="28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auto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  <w:rsid w:val="005507CD"/>
    <w:rPr>
      <w:rFonts w:ascii="Calibri" w:hAnsi="Calibri"/>
      <w:color w:val="auto"/>
      <w:sz w:val="24"/>
    </w:rPr>
  </w:style>
  <w:style w:type="character" w:customStyle="1" w:styleId="ListLabel16">
    <w:name w:val="ListLabel 16"/>
    <w:uiPriority w:val="99"/>
    <w:rsid w:val="005507CD"/>
    <w:rPr>
      <w:rFonts w:ascii="Calibri" w:hAnsi="Calibri"/>
      <w:color w:val="auto"/>
      <w:sz w:val="24"/>
    </w:rPr>
  </w:style>
  <w:style w:type="paragraph" w:customStyle="1" w:styleId="a9">
    <w:name w:val="Заголовок"/>
    <w:basedOn w:val="Normal"/>
    <w:next w:val="BodyText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C73"/>
    <w:rPr>
      <w:rFonts w:ascii="Times New Roman" w:eastAsia="Times New Roman" w:hAnsi="Times New Roman" w:cs="Calibri"/>
      <w:sz w:val="28"/>
      <w:lang w:eastAsia="en-US"/>
    </w:rPr>
  </w:style>
  <w:style w:type="paragraph" w:styleId="List">
    <w:name w:val="List"/>
    <w:basedOn w:val="BodyText"/>
    <w:uiPriority w:val="99"/>
    <w:rPr>
      <w:rFonts w:cs="FreeSans"/>
    </w:r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pPr>
      <w:suppressLineNumbers/>
    </w:pPr>
    <w:rPr>
      <w:rFonts w:cs="FreeSans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uiPriority w:val="99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ConsPlusCell">
    <w:name w:val="ConsPlusCell"/>
    <w:uiPriority w:val="99"/>
    <w:rPr>
      <w:rFonts w:ascii="Times New Roman" w:eastAsia="Times New Roman" w:hAnsi="Times New Roman"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C73"/>
    <w:rPr>
      <w:rFonts w:ascii="Times New Roman" w:eastAsia="Times New Roman" w:hAnsi="Times New Roman" w:cs="Calibri"/>
      <w:sz w:val="28"/>
      <w:lang w:eastAsia="en-US"/>
    </w:rPr>
  </w:style>
  <w:style w:type="paragraph" w:customStyle="1" w:styleId="ConsPlusNormal">
    <w:name w:val="ConsPlusNormal"/>
    <w:uiPriority w:val="99"/>
    <w:pPr>
      <w:ind w:firstLine="720"/>
    </w:pPr>
    <w:rPr>
      <w:rFonts w:ascii="Arial" w:eastAsia="Times New Roman" w:hAnsi="Arial" w:cs="Arial"/>
      <w:sz w:val="28"/>
      <w:szCs w:val="20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widowControl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C73"/>
    <w:rPr>
      <w:rFonts w:ascii="Times New Roman" w:eastAsia="Times New Roman" w:hAnsi="Times New Roman" w:cs="Calibri"/>
      <w:sz w:val="28"/>
      <w:lang w:eastAsia="en-US"/>
    </w:rPr>
  </w:style>
  <w:style w:type="paragraph" w:customStyle="1" w:styleId="12">
    <w:name w:val="Абзац списка1"/>
    <w:basedOn w:val="Normal"/>
    <w:uiPriority w:val="99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a">
    <w:name w:val="_Обычный"/>
    <w:basedOn w:val="Normal"/>
    <w:uiPriority w:val="99"/>
    <w:pPr>
      <w:jc w:val="both"/>
    </w:pPr>
    <w:rPr>
      <w:rFonts w:eastAsia="Calibri" w:cs="Times New Roman"/>
      <w:kern w:val="2"/>
    </w:rPr>
  </w:style>
  <w:style w:type="paragraph" w:customStyle="1" w:styleId="ab">
    <w:name w:val="_Пункт"/>
    <w:basedOn w:val="aa"/>
    <w:uiPriority w:val="99"/>
    <w:pPr>
      <w:tabs>
        <w:tab w:val="left" w:pos="567"/>
        <w:tab w:val="left" w:pos="1276"/>
      </w:tabs>
      <w:spacing w:line="276" w:lineRule="auto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73"/>
    <w:rPr>
      <w:rFonts w:ascii="Times New Roman" w:eastAsia="Times New Roman" w:hAnsi="Times New Roman" w:cs="Calibri"/>
      <w:sz w:val="0"/>
      <w:szCs w:val="0"/>
      <w:lang w:eastAsia="en-US"/>
    </w:rPr>
  </w:style>
  <w:style w:type="paragraph" w:customStyle="1" w:styleId="13">
    <w:name w:val="Стиль1"/>
    <w:basedOn w:val="Normal"/>
    <w:uiPriority w:val="99"/>
    <w:pPr>
      <w:spacing w:after="200"/>
      <w:ind w:firstLine="0"/>
      <w:jc w:val="both"/>
    </w:pPr>
    <w:rPr>
      <w:rFonts w:eastAsia="Calibri" w:cs="Times New Roman"/>
    </w:rPr>
  </w:style>
  <w:style w:type="paragraph" w:customStyle="1" w:styleId="14">
    <w:name w:val="_Заголовок1"/>
    <w:basedOn w:val="Normal"/>
    <w:uiPriority w:val="99"/>
    <w:pPr>
      <w:keepNext/>
      <w:keepLines/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1">
    <w:name w:val="Основной текст с отступом 2 Знак1"/>
    <w:basedOn w:val="14"/>
    <w:link w:val="2"/>
    <w:uiPriority w:val="99"/>
    <w:pPr>
      <w:spacing w:before="240" w:after="120"/>
      <w:outlineLvl w:val="1"/>
    </w:pPr>
  </w:style>
  <w:style w:type="paragraph" w:customStyle="1" w:styleId="30">
    <w:name w:val="_Заголовок3"/>
    <w:basedOn w:val="21"/>
    <w:uiPriority w:val="99"/>
    <w:p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pPr>
      <w:keepLines w:val="0"/>
      <w:spacing w:before="80" w:after="0"/>
      <w:ind w:right="0"/>
      <w:jc w:val="both"/>
      <w:outlineLvl w:val="3"/>
    </w:pPr>
    <w:rPr>
      <w:b w:val="0"/>
    </w:rPr>
  </w:style>
  <w:style w:type="paragraph" w:customStyle="1" w:styleId="110">
    <w:name w:val="_Подпункт 1.1"/>
    <w:basedOn w:val="Normal"/>
    <w:uiPriority w:val="99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kern w:val="2"/>
      <w:szCs w:val="28"/>
    </w:rPr>
  </w:style>
  <w:style w:type="paragraph" w:styleId="NormalWeb">
    <w:name w:val="Normal (Web)"/>
    <w:basedOn w:val="Normal"/>
    <w:uiPriority w:val="99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pPr>
      <w:spacing w:beforeAutospacing="1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Pr>
      <w:sz w:val="28"/>
      <w:lang w:eastAsia="en-US"/>
    </w:rPr>
  </w:style>
  <w:style w:type="paragraph" w:customStyle="1" w:styleId="31">
    <w:name w:val="Основной текст3"/>
    <w:basedOn w:val="Normal"/>
    <w:uiPriority w:val="99"/>
    <w:pPr>
      <w:widowControl w:val="0"/>
      <w:shd w:val="clear" w:color="auto" w:fill="FFFFFF"/>
      <w:spacing w:after="240" w:line="317" w:lineRule="exact"/>
      <w:ind w:firstLine="0"/>
    </w:pPr>
    <w:rPr>
      <w:rFonts w:ascii="Calibri" w:hAnsi="Calibri" w:cs="Times New Roman"/>
      <w:sz w:val="23"/>
      <w:szCs w:val="23"/>
    </w:rPr>
  </w:style>
  <w:style w:type="paragraph" w:customStyle="1" w:styleId="center">
    <w:name w:val="center"/>
    <w:basedOn w:val="Normal"/>
    <w:uiPriority w:val="99"/>
    <w:pPr>
      <w:spacing w:beforeAutospacing="1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Normal"/>
    <w:uiPriority w:val="99"/>
    <w:pPr>
      <w:widowControl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customStyle="1" w:styleId="EndnoteText1">
    <w:name w:val="Endnote Text1"/>
    <w:basedOn w:val="Normal"/>
    <w:uiPriority w:val="99"/>
    <w:pPr>
      <w:ind w:firstLine="0"/>
    </w:pPr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5C7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9</Pages>
  <Words>1606</Words>
  <Characters>9159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Viper</cp:lastModifiedBy>
  <cp:revision>28</cp:revision>
  <cp:lastPrinted>2015-02-28T15:35:00Z</cp:lastPrinted>
  <dcterms:created xsi:type="dcterms:W3CDTF">2016-09-22T05:31:00Z</dcterms:created>
  <dcterms:modified xsi:type="dcterms:W3CDTF">2022-01-21T10:05:00Z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